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14 175 vom 5. November 2014</w:t>
      </w:r>
    </w:p>
    <w:p>
      <w:r>
        <w:t>BL Gerichte, 2014-11-05, DE</w:t>
      </w:r>
    </w:p>
    <w:p>
      <w:r>
        <w:rPr>
          <w:b/>
        </w:rPr>
        <w:t xml:space="preserve">Quelle: </w:t>
      </w:r>
      <w:r>
        <w:t>https://mcp.opencaselaw.ch/entscheid/bl_gerichte_810 14 175</w:t>
      </w:r>
    </w:p>
    <w:p>
      <w:r>
        <w:t>FR: BL_GERICHTE 810 14 175 du 5 novembre 2014</w:t>
      </w:r>
    </w:p>
    <w:p>
      <w:r>
        <w:t>IT: BL_GERICHTE 810 14 175 del 5 novembre 2014</w:t>
      </w:r>
    </w:p>
    <w:p>
      <w:pPr>
        <w:pStyle w:val="Heading2"/>
      </w:pPr>
      <w:r>
        <w:t>Regeste</w:t>
      </w:r>
    </w:p>
    <w:p>
      <w:r>
        <w:t>Widerruf der Aufenthaltsbewilligung (RRB Nr. 0862 vom 10. Juni 2014)</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Streitgegenstand bildet die Frage, ob der Widerruf der Aufenthaltsbewilligung des Beschwerdeführers und dessen Wegweisung aus der Schweiz zu Recht erfolgten. 3.2 Eine ausländische Person ist zur Anwesenheit in der Schweiz nur berechtigt, wenn sie eine Aufenthalts- oder Niederlassungsbewilligung besitzt oder wenn sie keiner solchen bedarf (Art. 10 und Art. 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in: Uebersax/Rudin/Hugi Yar/Geiser [Hrsg.], Ausländerrecht, 2. Aufl., Basel 2009, Rz. 7.84 ff.). 3.3 In Bezug auf die Regelung des Aufenthalts bestimmt Art. 33 Abs. 1 AuG, dass die Aufenthaltsbewilligung für Aufenthalte mit einer Dauer von mehr als einem Jahr erteilt wird. Sie wird für einen bestimmten Aufenthaltszweck erteilt und kann mit weiteren Bedingungen verbunden werden (Art. 33 Abs. 2 AuG). Nach Art. 33 Abs. 3 AuG ist die Aufenthaltsbewilligung zudem befristet und kann verlängert werden, wenn keine Widerrufsgründe nach Art. 62 AuG vorliegen. 3.4 Im vorliegenden Fall ist zunächst festzuhalten, dass zwischen der Schweiz und Serbien keine staatsvertragliche Vereinbarung besteht, welche dem Beschwerdeführer einen Anspruch auf Aufenthalt in der Schweiz einräumt. Auf den mit Serbien am 16. Februar 1888 geschlossenen Niederlassungsvertrag (Niederlassungs- und Konsularvertrag zwischen der Schweiz und Serbien vom 16. Februar 1888) können sich rechtsprechungsgemäss nur noch Personen berufen, welche gemäss der landesrechtlichen Fremdenpolizeiordnung endgültig zugelassen sind, mithin eine Niederlassungsbewilligung nach dem nationalen Recht besitzen (Entscheid des Kantonsgerichts, Abteilung Verfassungs- und Verwaltungsrecht [KGE VV], vom 24. März 2010 [810 09 321] E. 5.2 mit Hinweisen). Letzteres trifft auf den Beschwerdeführer nicht zu, weshalb er sich nicht auf den Niederlassungsvertrag berufen kann. 4.1 Ein gesetzlicher Anspruch einer ausländischen Person auf Anwesenheit in der Schweiz liegt gemäss Art. 42 Abs. 1 AuG insbesondere dann vor, wenn diese mit einer Person mit Schweizer Staatsbürgerschaft verheiratet ist und mit ihr zusammenwohnt. Das Erfordernis des Zusammenwohnens besteht nicht, wenn für getrennte Wohnorte wichtige Gründe geltend gemacht werden und die Familiengemeinschaft weiter besteht (vgl. Art. 49 AuG). 4.2 Nach Auflösung der Familiengemeinschaft besteht der Anspruch des Ehegatten auf Erteilung und Verlängerung der Aufenthaltsbewilligung nach Art. 50 Abs. 1 AuG weiter, wenn die Ehegemeinschaft mindestens drei Jahre bestanden hat und eine erfolgreiche Integration vorliegt (lit. a) oder wenn wichtige persönliche Gründe einen weiteren Aufenthalt in der Schweiz erforderlich machen (lit. b). Eine (relevante) Ehegemeinschaft liegt vor, solange die eheliche Beziehung tatsächlich gelebt wird und ein gegenseitiger Ehewille besteht.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(BGE 136 II 113 E. 3.2). 4.3 Die Migrationsbehörden verbinden die Aufenthaltsbewilligung einer ausländischen Person regelmässig mit einem bestimmten Zweck. Zweck des Familiennachzugs ist es, das Leben in der Familiengemeinschaft zu ermöglichen. Wird diese mit der Aufenthaltsbewilligung verbundene Bedingung nicht (mehr) eingehalten, so kann die Behörde die Bewilligung widerrufen (vgl. Art. 62 lit. d AuG). Entfällt die ursprüngliche Anspruchsgrundlage für die Bewilligung - beispielsweise weil die Eheleute nicht mehr tatsächlich zusammenwohnen, obwohl dies vom Gesetz vorausgesetzt wird - so gilt der Aufenthaltszweck als weggefallen. Infolgedessen kann die Bewilligung widerrufen bzw. nicht verlängert und die ausländische Person weggewiesen werden, wenn kein anderweitiger Bewilligungsanspruch besteht (vgl. Andreas Zünd / Ladina Arquint Hill , in: Uebersax/Rudin/Hugi Yar/Geiser [Hrsg.], a.a.O., Rz. 8.26; Silvia Hunziker , in: Caroni/Gächter/Thurnherr [Hrsg.], Bundesgesetz über die Ausländerinnen und Ausländer, Bern 2010, Art. 62 Rz. 44). 5.1 Infolge Aufgabe des ehelichen Zusammenlebens und der Bewilligung des Getrenntlebens nach lediglich einem Jahr Ehe ist der ursprüngliche Anspruch des Beschwerdeführers auf Anwesenheit in der Schweiz gemäss Art. 42 Abs. 1 AuG unstreitig weggefallen, so dass gemäss Art. 62 lit. d AuG ein zulässiger Widerrufsgrund vorliegt. Es ist im Weiteren jedoch zu prüfen, ob der Beschwerdeführer aus Art. 50 Abs. 1 AuG einen anderweitigen Anspruch auf Erteilung der Aufenthaltsbewilligung ableiten kann. 5.2 Der Beschwerdeführer beruft sich vorliegend auf Art. 50 Abs. 1 lit. b i.V.m. Art. 50 Abs. 2 AuG und macht geltend, er sei Opfer von Nötigung und Drohung von Seiten der Ehefrau geworden. Die Ehefrau habe von ihm Fr. 20'000.-- verlangt, verbunden mit der Drohung, sie werde dafür schauen, dass er ausgewiesen werde, wenn er nicht bezahle. Weil er das Geld nicht habe bezahlen können, habe ihn die Ehefrau zu Unrecht bei der Polizei beschuldigt, er habe sich häuslicher Gewalt schuldig gemacht. Es sei ihm unbekannt, ob die Polizei schon aufgrund der Offizialmaxime des Vorfalls im Mai 2013 ein Strafverfahren eröffnet habe. Er habe die entsprechenden Aussagen auch in dem gegen ihn eingeleiteten Strafverfahren ansatzweise deponiert und sein Rechtsvertreter sei beauftragt, eine Strafanzeige einzureichen wegen mehrfacher versuchter Nötigung. 5.3 Nach der Rechtsprechung des Bundesgerichts ist im Rahmen von Art. 50 Abs. 1 lit. b AuG i.V.m. Art. 50 Abs. 2 AuG jede Form ehelicher bzw. häuslicher Gewalt, sei sie körperlicher oder psychischer Natur, ernst zu nehmen (Urteil des Bundesgerichts 2C_155/2011 vom 7. Juli 2011 E. 4.3). Häusliche Gewalt bedeutet dabei systematische Misshandlung mit dem Ziel, Macht und Kontrolle auszuüben und nicht eine einmalige Ohrfeige oder eine verbale Beschimpfung im Verlauf eines eskalierenden Streits (BGE 138 II 229, E. 3.2.1 mit weiteren Hinweisen). Die ausländische Person trifft bei den Feststellungen des entsprechenden Sachverhalts eine weitreichende Mitwirkungspflicht (BGE 126 II 335 E. 2b/cc; BGE 124 II 361 E. 2b).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(BGE 138 II 229 E. 3.2.3). 5.4 Nach Art. 77 Abs. 6 der Verordnung über Zulassung, Aufenthalt und Erwerbstätigkeit vom 24. Oktober 2007 (VZAE) gelten als Hinweise auf eheliche Gewalt insbesondere Arztzeugnisse, Polizeirapporte, Strafanzeigen, Massnahmen im Sinne von Artikel 28b des Zivilgesetzbuches oder entsprechende strafrechtliche Verurteilungen. Gemäss der Lehre kann der Nachweis der erlittenen häuslichen Gewalt auch durch Zeugenaussagen oder einen Bericht des Frauenhauses oder der Opferhilfestelle erbracht werden (vgl. Marc Spescha , in: Specha/Thür/Zünd/Bolzli [Hrsg.], 2. Aufl., Zürich 2009, N 10 zu Art. 50 AuG). 5.5 Wie bereits in der Verfügung vom 13. August 2014 festgestellt wurde, erscheint der vom Beschwerdeführer geschilderte Sachverhalt – wie er ihn auch anlässlich seiner Einvernahme vom 30. Juli 2013 zu Protokoll gab – nicht als geeignet, die verlangte Intensität von häuslicher Gewalt, sofern es sich überhaupt um häusliche Gewalt im Sinne von Art. 50 Abs. 2 AuG handelt, glaubhaft zu machen. Eine Anwendung der nachehelichen Härtefallbestimmung rechtfertigt sich diesbezüglich somit nicht. Der Beschwerdeführer sah sich auch bis zur heutigen Urteilsberatung, d.h. über 17 Monate nach dem behaupteten Vorfall, nicht veranlasst, tatsächlich eine Strafanzeige gegen die Ehefrau einzureichen. Im Gegensatz dazu hat die Ehefrau umgehend eine Strafanzeige eingereicht und eine polizeiliche Wegweisung sowie ein gerichtliches Kontaktverbot gegen den Beschwerdeführer erwirkt (vgl. Wegweisungsverfügung vom 30. Juli 2013). Weitere Hinweise, welche auf die Möglichkeit ehelicher Gewalt zum Nachteil des Beschwerdeführers hindeuten, sind weder den Rechtsschriften noch den Akten zu entnehmen. Der Beschwerdeführer legt überdies nicht dar, inwiefern seine Rückkehr nach Serbien besondere Probleme darstelle, die in einem hinreichend engen Zusammenhang zur ursprünglich anspruchsbegründenden Ehe und dem damit verbundenen bisherigen (bewilligten) Aufenthalt im Land stünden. Da der Aufenthalt hier nur von kurzer Dauer war, besteht kein Anspruch auf einen weiteren Verbleib, auch wenn der Beschwerdeführer in der Schweiz nicht straffällig geworden ist, gearbeitet hat und sich inzwischen in der deutschen Sprache auszudrücken vermag. Der Beschwerdeführer stammt aus Serbien und ist erst im Alter von 31 Jahren in die Schweiz eingereist. Er hat einen Grossteil seines Lebens in der Heimat bzw. in anderen Ländern verbracht. Es ist nicht ersichtlich, weshalb eine erneute Integration in die dortigen Verhältnisse unzumutbar wäre. Ein Anspruch auf Bewilligungsverlängerung unter dem Titel von Art. 50 Abs. 1 lit. b AuG besteht demnach nicht.</w:t>
      </w:r>
    </w:p>
    <w:p>
      <w:r>
        <w:rPr>
          <w:b/>
        </w:rPr>
        <w:t>E. 6</w:t>
      </w:r>
    </w:p>
    <w:p>
      <w:r>
        <w:t>Der Beschwerdeführer vermag auch aus dem in Art. 8 Ziff. 1 der Konvention zum Schutze der Menschenrechte und Grundfreiheiten (Europäische Menschenrechtskonvention, EMRK) vom 4. November 1950 sowie Art. 13 Abs. 1 der Schweizerischen Bundesverfassung (BV) vom 18. April 1999 garantierten Recht auf Achtung des Privat- und Familienlebens keinen Bewilligungsanspruch abzuleiten. Seine Ehe wurde mittlerweile gerichtlich getrennt und die Möglichkeit einer Versöhnung bzw. Wiedervereinigung der Eheleute wird weder vom Beschwerdeführer geltend gemacht noch ist eine solche aus den Akten ersichtlich. Unter diesen Umständen kann von vornherein nicht von einer tatsächlich gelebten und intakten Beziehung, wie sie für eine Berufung auf das Recht auf Achtung des Familienlebens erforderlich ist, gesprochen werden. Auch kann sich der Beschwerdeführer nicht auf den Schutz des Privatlebens nach Art. 8 EMRK bzw. Art. 13 BV berufen, da er über keine besonders intensiven, über eine normale Integration hinausgehenden privaten Bindungen gesellschaftlicher oder beruflicher Natur verfügt. Es kann demnach festgehalten werden, dass dem Beschwerdeführer kein Anspruch auf Erteilung bzw. Verlängerung der Aufenthaltsbewilligung gestützt auf völkerrechtliche Verpflichtungen zukommt.</w:t>
      </w:r>
    </w:p>
    <w:p>
      <w:r>
        <w:rPr>
          <w:b/>
        </w:rPr>
        <w:t>E. 7</w:t>
      </w:r>
    </w:p>
    <w:p>
      <w:r>
        <w:t>Besteht nach dem Gesagten kein Rechtsanspruch des Beschwerdeführers auf Erteilung der Aufenthaltsbewilligung, so liegt deren Verlängerung resp. Widerruf im Ermessen der Behörde (vgl. Art. 33 Abs. 3 AuG resp. Art. 62 lit. d AuG). Dazu bedarf es eines Ermessensentscheids, welcher nach den allgemeinen Grundsätzen pflichtgemäss und unter Berücksichtigung der Umstände des Einzelfalls zu treffen ist (vgl. Andreas Zünd / Ladina Arquint Hill , in: Uebersax/Rudin/Hugi Yar/Geiser [Hrsg.], a.a.O., Rz. 8.44; Benjamin Schindler , in: Caroni/Gächter/Thurnherr [Hrsg.], a.a.O., Art. 96 Rz. 7). Im Rahmen ihrer Ermessensausübung haben die Behörden gemäss Art. 96 Abs. 1 AuG die öffentlichen Interessen und die persönlichen Verhältnisse sowie den Grad der Integration zu berücksichtigen. Im angefochtenen Entscheid vom 10. Juni 2014 hat der Regierungsrat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(vgl. E. 2). Es ist demzufolge nicht zu beanstanden, dass es der Regierungsrat abgelehnt hat, dem Beschwerdeführer die Aufenthaltsbewilligung ermessensweise zu belassen. 8.1 In einem weiteren Schritt gilt es zu beurteilen, ob der Widerruf der Aufenthaltsbewilligung verhältnismässig ist.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Im Rahmen der Verhältnismässigkeitsprüfung sind die bekannten Kriterien wie Dauer der Anwesenheit, persönliche Beziehungen zur Schweiz, berufliche Situation, Wirtschafts- und Arbeitsmarktlage, persönliches Verhalten sowie Integrationsgrad zu berücksichtigen (vgl. Ziffer 8.3 der Weisungen des Bundesamts für Migration zum Ausländerbereich, Version vom 30. September 2011; BGE135 II 377 E. 4.3 ff.). 8.2 Es steht ausser Frage, dass eine Wegweisung für die Erreichung der fremdenpolizeilichen Ziele eine geeignete Massnahme darstellt.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Zweck in einem vernünftigen Verhältnis zu den Belastungen steht, die dem Beschwerdeführer mit der Wegweisung auferlegt werden. Diesbezüglich muss eine Interessenabwägung vorgenommen werden. 8.3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8.4 Das private Interesse am Verzicht auf den Widerruf der Aufenthaltsbewilligung, auf das sich der Beschwerdeführer beruft, gründet im Wesentlichen auf dem Argument, dass er sich in der Schweiz gut eingelebt habe und dass er sich hier ein neues Leben mit einer festen Arbeitsstelle sowie einem neuen Freundeskreis aufgebaut habe und dies alles nicht verlieren wolle. 8.5 Der Beschwerdeführer befindet sich seit dem 26. Juli 2012 und damit erst seit mittlerweile etwas über zwei Jahren in der Schweiz. Diese kurze Aufenthaltsdauer kann nicht entscheidend zu seinen Gunsten ins Gewicht fallen. Es ist dementsprechend nicht von einer besonders guten Integration des Beschwerdeführers und schon gar nicht von einer Verwurzelung in der Schweiz auszugehen. Er hat jedoch gemäss eigenen Angaben zahlreiche Beziehungen zur hiesigen Bevölkerung geknüpft, es handelt sich dabei aber nicht um besonders tiefgehende, über die normale Integration hinausgehende, private Bindungen (vgl. oben E. 6). Der Beschwerdeführer hat sich jedoch in der kurzen Zeit, in der er in der Schweiz lebt, klaglos verhalten und sich um eine Integration bemüht. In dieser Hinsicht ist anzumerken, dass er verschiedene Deutschkurse besucht hat. Er hat sich weiter offenbar erfolgreich im Betrieb eingearbeitet und kann dies mittels Arbeitsbestätigung seiner Vermittlungsagentur auch belegen. Gleichzeitig ist dazu zu bemerken, dass er als Elektromonteur keine besonders qualifizierte Tätigkeit ausübt, die aus wirtschaftlicher oder arbeitsmarktlicher Sicht eine Verlängerung der Aufenthaltsbewilligung gebieten würde. Hinsichtlich der Zumutbarkeit einer Heimkehr nach Serbien ist davon auszugehen, dass er bei der Rückkehr in sein Heimatland keine überdurchschnittlichen Schwierigkeiten zu gewärtigen haben wird. Im Rahmen des rechtlichen Gehörs vom November 2013 führt der Beschwerdeführer aus, er sei während der gesundheitlichen Behandlung seiner Ehefrau in Serbien gewesen sowie für Besuche seiner (mittlerweile verstorbenen) Grosseltern. Der Beschwerdeführer kam erst im Alter von 31 Jahren in die Schweiz. Entsprechend hat er seine prägenden Kinder- und Jugendjahre in seinem Heimatland verbracht, ist mit den Sitten und Gebräuchen in seinem Heimatland vertraut und beherrscht die dortige Sprache. Ungünstigere wirtschaftliche Perspektiven in Serbien lassen eine Rückkehr überdies nicht als unzumutbar erscheinen. Einer Rückkehr des heute 33 Jahre alten und kinderlosen Beschwerdeführers steht somit nichts im Wege und eine solche stellt insbesondere auch keine grosse Härte dar. Unter Beachtung dieser Aspekte erscheinen der Widerruf der Aufenthaltsbewilligung sowie die Wegweisung des Beschwerdeführers aus der Schweiz als zumutbar. Gewichtige private Interessen, welche den genannten ausländerrechtlichen Massnahmen entgegenstehen, sind vorliegend nicht ersichtlich. Insgesamt überwiegt demnach das öffentliche Interesse an der Gleichbehandlung der Ausländerinnen und Ausländer im Rahmen des AuG sowie an der Durchsetzung der Rechtsordnung das private Interesse des Beschwerdeführers an einem weiteren Verbleib in der Schweiz. Der angefochtene Entscheid erweist sich als verhältnismässig.</w:t>
      </w:r>
    </w:p>
    <w:p>
      <w:r>
        <w:rPr>
          <w:b/>
        </w:rPr>
        <w:t>E. 9</w:t>
      </w:r>
    </w:p>
    <w:p>
      <w:r>
        <w:t>Der Widerruf der Aufenthaltsbewilligung und die damit verbundene Wegweisung des Beschwerdeführers erfolgten nach dem Gesagten zu Recht, weshalb die Beschwerde abzuweisen ist.</w:t>
      </w:r>
    </w:p>
    <w:p>
      <w:r>
        <w:rPr>
          <w:b/>
        </w:rPr>
        <w:t>E. 10</w:t>
      </w:r>
    </w:p>
    <w:p>
      <w:r>
        <w:t>Im Folgenden ist noch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unterliegenden Beschwerdeführer aufzuerlegen und mit dem geleisteten Kostenvorschuss in der Höhe von Fr. 2'100.-- zu verrechnen. Der zuviel bezahlte Kostenvorschuss von Fr. 700.-- ist dem Beschwerdeführer zurückzuerstatten.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Demgemäss wird e r k a n n t : 1. Die Beschwerde wird abgewiesen. 2. Der Beschwerdeführer hat die Schweiz bis spätestens 30 Tage nach Rechtskraft des Urteils zu verlassen. 3. Die Verfahrenskosten in der Höhe von Fr. 1'400.-- werden dem Beschwerdeführer auferlegt und mit dem geleisteten Kostenvorschuss in der Höhe von Fr. 2'100.-- verrechnet. Der zuviel bezahlte Kostenvorschuss von Fr. 700.-- wird dem Beschwerdeführer zurückerstattet. 4. Die Parteikosten werden wettgeschlagen. Präsidentin Gerichtsschreiberin Gegen diesen Entscheid wurde am 13. Februar 2015 Beschwerde beim Bundesgericht (Verfahrensnummer 2C_144/2015)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